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53" w:rsidRDefault="00C32153">
      <w:pPr>
        <w:pStyle w:val="BodyTextIndent3"/>
        <w:spacing w:after="0" w:line="540" w:lineRule="exact"/>
        <w:ind w:leftChars="0" w:left="0"/>
        <w:jc w:val="center"/>
        <w:rPr>
          <w:rFonts w:ascii="方正大标宋简体" w:eastAsia="方正大标宋简体" w:hAnsi="方正大标宋简体"/>
          <w:color w:val="FF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52"/>
          <w:szCs w:val="52"/>
        </w:rPr>
        <w:t>国家知识产权培训（山东）基地文件</w:t>
      </w:r>
    </w:p>
    <w:p w:rsidR="00C32153" w:rsidRDefault="00C32153">
      <w:pPr>
        <w:pStyle w:val="BodyTextIndent3"/>
        <w:spacing w:after="0" w:line="540" w:lineRule="exact"/>
        <w:ind w:leftChars="0" w:left="0"/>
        <w:jc w:val="center"/>
        <w:rPr>
          <w:rFonts w:ascii="方正大标宋简体" w:eastAsia="方正大标宋简体" w:hAnsi="方正大标宋简体"/>
          <w:color w:val="FF0000"/>
          <w:sz w:val="44"/>
          <w:szCs w:val="44"/>
        </w:rPr>
      </w:pPr>
      <w:r>
        <w:rPr>
          <w:noProof/>
        </w:rPr>
        <w:pict>
          <v:line id="直线 1" o:spid="_x0000_s1026" style="position:absolute;left:0;text-align:left;flip:y;z-index:251658240" from="-5.25pt,5.05pt" to="420.5pt,5.4pt" strokecolor="red" strokeweight="1.25pt"/>
        </w:pict>
      </w:r>
      <w:r>
        <w:rPr>
          <w:noProof/>
        </w:rPr>
        <w:pict>
          <v:line id="_x0000_s1027" style="position:absolute;left:0;text-align:left;flip:y;z-index:251659264" from="-5.15pt,7.6pt" to="420.6pt,7.95pt" strokecolor="red" strokeweight="1.25pt"/>
        </w:pict>
      </w:r>
    </w:p>
    <w:p w:rsidR="00C32153" w:rsidRDefault="00C32153">
      <w:pPr>
        <w:pStyle w:val="BodyTextIndent3"/>
        <w:spacing w:after="0" w:line="540" w:lineRule="exact"/>
        <w:ind w:leftChars="0" w:left="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6"/>
          <w:szCs w:val="36"/>
        </w:rPr>
        <w:t>关于举办知识产权师资培训与人才培养研讨会的通知</w:t>
      </w:r>
    </w:p>
    <w:p w:rsidR="00C32153" w:rsidRDefault="00C32153">
      <w:pPr>
        <w:jc w:val="center"/>
        <w:rPr>
          <w:rFonts w:ascii="仿宋" w:eastAsia="仿宋" w:hAnsi="仿宋" w:cs="Times New Roman"/>
          <w:sz w:val="30"/>
          <w:szCs w:val="30"/>
        </w:rPr>
      </w:pPr>
    </w:p>
    <w:p w:rsidR="00C32153" w:rsidRDefault="00C32153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0"/>
          <w:szCs w:val="30"/>
        </w:rPr>
        <w:t>基地秘字</w:t>
      </w:r>
      <w:r>
        <w:rPr>
          <w:rFonts w:ascii="仿宋" w:eastAsia="仿宋" w:hAnsi="仿宋" w:cs="仿宋"/>
          <w:sz w:val="30"/>
          <w:szCs w:val="30"/>
        </w:rPr>
        <w:t>[2015]11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各有关单位：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国家知识产权培训（山东）基地拟于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/>
          <w:sz w:val="32"/>
          <w:szCs w:val="32"/>
        </w:rPr>
        <w:t>29</w:t>
      </w:r>
      <w:r>
        <w:rPr>
          <w:rFonts w:ascii="仿宋" w:eastAsia="仿宋" w:hAnsi="仿宋" w:cs="仿宋" w:hint="eastAsia"/>
          <w:sz w:val="32"/>
          <w:szCs w:val="32"/>
        </w:rPr>
        <w:t>日在烟台举办知识产权师资培训与人才培养研讨会，特邀请您拨冗参加会议。现将相关事项通知如下：</w:t>
      </w:r>
    </w:p>
    <w:p w:rsidR="00C32153" w:rsidRDefault="00C32153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一、参会人员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学校中从事知识产权教学的一线教师、承担知识产权专业本科招生与培养任务的院系的教学工作负责人、专业建设负责人和知识产权管理人员；地方知识产权局负责人才工作的人员；企业负责人、知识产权高级管理人员；从事知识产权服务的人员；山东高校知识产权研究会理事</w:t>
      </w:r>
      <w:r>
        <w:rPr>
          <w:rFonts w:ascii="仿宋" w:eastAsia="仿宋" w:hAnsi="仿宋" w:cs="仿宋"/>
          <w:sz w:val="32"/>
          <w:szCs w:val="32"/>
        </w:rPr>
        <w:t>;</w:t>
      </w:r>
      <w:r>
        <w:rPr>
          <w:rFonts w:ascii="仿宋" w:eastAsia="仿宋" w:hAnsi="仿宋" w:cs="仿宋" w:hint="eastAsia"/>
          <w:sz w:val="32"/>
          <w:szCs w:val="32"/>
        </w:rPr>
        <w:t>等等。</w:t>
      </w:r>
    </w:p>
    <w:p w:rsidR="00C32153" w:rsidRDefault="00C32153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二、会议内容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知识产权强国战略与人才培养模式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知识产权人才的社会需求与培养目标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知识产权专业本科阶段课程体系设计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知识产权专业本科阶段优秀课程建设</w:t>
      </w: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三、报名回执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请参会人员填写回执表，务必在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日前发送至联系人电子邮箱。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敬请高校的参会代表将本单位的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知识产权专业本科阶段教学计划一并</w:t>
      </w:r>
      <w:r>
        <w:rPr>
          <w:rFonts w:ascii="仿宋" w:eastAsia="仿宋" w:hAnsi="仿宋" w:cs="仿宋" w:hint="eastAsia"/>
          <w:sz w:val="32"/>
          <w:szCs w:val="32"/>
        </w:rPr>
        <w:t>发送至联系人电子邮箱。</w:t>
      </w: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四、报到时间</w:t>
      </w:r>
    </w:p>
    <w:p w:rsidR="00C32153" w:rsidRDefault="00C32153" w:rsidP="00A527C3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00-18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00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报到时，欢迎高校的参会代表将加盖单位公章的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知识产权专业本科阶段教学计划</w:t>
      </w:r>
      <w:r>
        <w:rPr>
          <w:rFonts w:ascii="仿宋" w:eastAsia="仿宋" w:hAnsi="仿宋" w:cs="仿宋" w:hint="eastAsia"/>
          <w:sz w:val="32"/>
          <w:szCs w:val="32"/>
        </w:rPr>
        <w:t>交给会务工作人员。</w:t>
      </w:r>
    </w:p>
    <w:p w:rsidR="00C32153" w:rsidRDefault="00C32153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五、会议费用</w:t>
      </w:r>
    </w:p>
    <w:p w:rsidR="00C32153" w:rsidRDefault="00C32153" w:rsidP="00A527C3">
      <w:pPr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本次会议不收取培训费、会务费，会议期间食宿统一安排</w:t>
      </w:r>
      <w:r>
        <w:rPr>
          <w:rFonts w:ascii="仿宋" w:eastAsia="仿宋" w:hAnsi="仿宋" w:cs="仿宋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费用由国家知识产权培训（山东）基地承担；参会人员往返差旅及市内交通等费用由各单位承担。</w:t>
      </w:r>
    </w:p>
    <w:p w:rsidR="00C32153" w:rsidRDefault="00C32153">
      <w:pPr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六、报到地点</w:t>
      </w:r>
    </w:p>
    <w:p w:rsidR="00C32153" w:rsidRDefault="00C32153">
      <w:pPr>
        <w:autoSpaceDN w:val="0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烟台大学于维紘学术交流中心（大学东门内约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米）</w:t>
      </w:r>
    </w:p>
    <w:p w:rsidR="00C32153" w:rsidRDefault="00C32153">
      <w:pPr>
        <w:autoSpaceDN w:val="0"/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地址：烟台市莱山区清泉路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C32153" w:rsidRDefault="00C32153" w:rsidP="00A527C3">
      <w:pPr>
        <w:autoSpaceDN w:val="0"/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/>
          <w:sz w:val="32"/>
          <w:szCs w:val="32"/>
        </w:rPr>
        <w:t xml:space="preserve">0535-6901009  6901979  </w:t>
      </w:r>
    </w:p>
    <w:p w:rsidR="00C32153" w:rsidRDefault="00C32153">
      <w:pPr>
        <w:autoSpaceDN w:val="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七、乘车路线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烟台火车站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可乘</w:t>
      </w:r>
      <w:r>
        <w:rPr>
          <w:rFonts w:ascii="仿宋" w:eastAsia="仿宋" w:hAnsi="仿宋" w:cs="仿宋"/>
          <w:sz w:val="32"/>
          <w:szCs w:val="32"/>
        </w:rPr>
        <w:t>17</w:t>
      </w:r>
      <w:r>
        <w:rPr>
          <w:rFonts w:ascii="仿宋" w:eastAsia="仿宋" w:hAnsi="仿宋" w:cs="仿宋" w:hint="eastAsia"/>
          <w:sz w:val="32"/>
          <w:szCs w:val="32"/>
        </w:rPr>
        <w:t>路双层巴士至烟台大学北门站下车，或乘</w:t>
      </w:r>
      <w:r>
        <w:rPr>
          <w:rFonts w:ascii="仿宋" w:eastAsia="仿宋" w:hAnsi="仿宋" w:cs="仿宋"/>
          <w:sz w:val="32"/>
          <w:szCs w:val="32"/>
        </w:rPr>
        <w:t>K61</w:t>
      </w:r>
      <w:r>
        <w:rPr>
          <w:rFonts w:ascii="仿宋" w:eastAsia="仿宋" w:hAnsi="仿宋" w:cs="仿宋" w:hint="eastAsia"/>
          <w:sz w:val="32"/>
          <w:szCs w:val="32"/>
        </w:rPr>
        <w:t>路公交车至烟台大学东门站下车；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烟台长途汽车总站</w:t>
      </w:r>
    </w:p>
    <w:p w:rsidR="00C32153" w:rsidRDefault="00C32153">
      <w:pPr>
        <w:autoSpaceDN w:val="0"/>
        <w:ind w:firstLine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可乘</w:t>
      </w:r>
      <w:r>
        <w:rPr>
          <w:rFonts w:ascii="仿宋" w:eastAsia="仿宋" w:hAnsi="仿宋" w:cs="仿宋"/>
          <w:sz w:val="32"/>
          <w:szCs w:val="32"/>
        </w:rPr>
        <w:t>K61</w:t>
      </w:r>
      <w:r>
        <w:rPr>
          <w:rFonts w:ascii="仿宋" w:eastAsia="仿宋" w:hAnsi="仿宋" w:cs="仿宋" w:hint="eastAsia"/>
          <w:sz w:val="32"/>
          <w:szCs w:val="32"/>
        </w:rPr>
        <w:t>路公交车至烟台大学东门站下车；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烟台（城铁）南站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可乘“城铁</w:t>
      </w:r>
      <w:r>
        <w:rPr>
          <w:rFonts w:ascii="仿宋" w:eastAsia="仿宋" w:hAnsi="仿宋" w:cs="仿宋"/>
          <w:sz w:val="32"/>
          <w:szCs w:val="32"/>
        </w:rPr>
        <w:t>K1</w:t>
      </w:r>
      <w:r>
        <w:rPr>
          <w:rFonts w:ascii="仿宋" w:eastAsia="仿宋" w:hAnsi="仿宋" w:cs="仿宋" w:hint="eastAsia"/>
          <w:sz w:val="32"/>
          <w:szCs w:val="32"/>
        </w:rPr>
        <w:t>”路至烟台大学站下车。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烟台蓬莱国际机场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可乘机场巴士；若需接送站，请提前告知。</w:t>
      </w:r>
    </w:p>
    <w:p w:rsidR="00C32153" w:rsidRDefault="00C32153">
      <w:pPr>
        <w:autoSpaceDN w:val="0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八、联系方式</w:t>
      </w:r>
    </w:p>
    <w:p w:rsidR="00C32153" w:rsidRDefault="00C32153">
      <w:pPr>
        <w:autoSpaceDN w:val="0"/>
        <w:ind w:firstLine="63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赵文经</w:t>
      </w:r>
    </w:p>
    <w:p w:rsidR="00C32153" w:rsidRDefault="00C32153">
      <w:pPr>
        <w:autoSpaceDN w:val="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>
        <w:rPr>
          <w:rFonts w:ascii="仿宋" w:eastAsia="仿宋" w:hAnsi="仿宋" w:cs="仿宋"/>
          <w:sz w:val="32"/>
          <w:szCs w:val="32"/>
        </w:rPr>
        <w:t>0535-6881667</w:t>
      </w:r>
    </w:p>
    <w:p w:rsidR="00C32153" w:rsidRDefault="00C32153">
      <w:pPr>
        <w:autoSpaceDN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电子邮箱：</w:t>
      </w:r>
      <w:r>
        <w:rPr>
          <w:rFonts w:ascii="仿宋" w:eastAsia="仿宋" w:hAnsi="仿宋" w:cs="仿宋"/>
          <w:sz w:val="32"/>
          <w:szCs w:val="32"/>
        </w:rPr>
        <w:t>zhaowenjing100@139.com</w:t>
      </w:r>
    </w:p>
    <w:p w:rsidR="00C32153" w:rsidRDefault="00C32153">
      <w:pPr>
        <w:autoSpaceDN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:rsidR="00C32153" w:rsidRDefault="00C32153">
      <w:pPr>
        <w:autoSpaceDN w:val="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国家知识产权培训（山东）基地</w:t>
      </w:r>
    </w:p>
    <w:p w:rsidR="00C32153" w:rsidRDefault="00C32153">
      <w:pPr>
        <w:autoSpaceDN w:val="0"/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autoSpaceDN w:val="0"/>
        <w:ind w:right="320"/>
        <w:jc w:val="righ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16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C32153" w:rsidRDefault="00C32153">
      <w:pPr>
        <w:rPr>
          <w:rFonts w:ascii="仿宋" w:eastAsia="仿宋" w:hAnsi="仿宋" w:cs="Times New Roman"/>
          <w:b/>
          <w:bCs/>
          <w:sz w:val="32"/>
          <w:szCs w:val="32"/>
        </w:rPr>
      </w:pPr>
    </w:p>
    <w:p w:rsidR="00C32153" w:rsidRDefault="00C32153">
      <w:pPr>
        <w:autoSpaceDN w:val="0"/>
        <w:ind w:right="320"/>
        <w:jc w:val="right"/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autoSpaceDN w:val="0"/>
        <w:ind w:right="320"/>
        <w:jc w:val="right"/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autoSpaceDN w:val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C32153" w:rsidRDefault="00C32153">
      <w:pPr>
        <w:autoSpaceDN w:val="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2015</w:t>
      </w:r>
      <w:r>
        <w:rPr>
          <w:rFonts w:ascii="仿宋" w:eastAsia="仿宋" w:hAnsi="仿宋" w:cs="仿宋" w:hint="eastAsia"/>
          <w:sz w:val="32"/>
          <w:szCs w:val="32"/>
        </w:rPr>
        <w:t>知识产权师资培训与人才培养研讨会回执表</w:t>
      </w: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rPr>
          <w:rFonts w:ascii="仿宋" w:eastAsia="仿宋" w:hAnsi="仿宋" w:cs="Times New Roman"/>
          <w:sz w:val="32"/>
          <w:szCs w:val="32"/>
        </w:rPr>
      </w:pPr>
    </w:p>
    <w:p w:rsidR="00C32153" w:rsidRDefault="00C3215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1</w:t>
      </w:r>
    </w:p>
    <w:p w:rsidR="00C32153" w:rsidRDefault="00C32153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2015</w:t>
      </w:r>
      <w:r>
        <w:rPr>
          <w:rFonts w:ascii="仿宋" w:eastAsia="仿宋" w:hAnsi="仿宋" w:cs="仿宋" w:hint="eastAsia"/>
          <w:sz w:val="32"/>
          <w:szCs w:val="32"/>
        </w:rPr>
        <w:t>知识产权师资培训与人才培养研讨会回执表</w:t>
      </w:r>
    </w:p>
    <w:p w:rsidR="00C32153" w:rsidRDefault="00C32153">
      <w:pPr>
        <w:jc w:val="center"/>
        <w:rPr>
          <w:rFonts w:ascii="仿宋" w:eastAsia="仿宋" w:hAnsi="仿宋" w:cs="Times New Roman"/>
          <w:sz w:val="32"/>
          <w:szCs w:val="32"/>
        </w:rPr>
      </w:pPr>
    </w:p>
    <w:tbl>
      <w:tblPr>
        <w:tblpPr w:leftFromText="180" w:rightFromText="180" w:vertAnchor="text" w:tblpX="-658" w:tblpY="72"/>
        <w:tblOverlap w:val="never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5"/>
        <w:gridCol w:w="3030"/>
        <w:gridCol w:w="2145"/>
        <w:gridCol w:w="2985"/>
      </w:tblGrid>
      <w:tr w:rsidR="00C32153">
        <w:trPr>
          <w:trHeight w:val="745"/>
        </w:trPr>
        <w:tc>
          <w:tcPr>
            <w:tcW w:w="1515" w:type="dxa"/>
            <w:vAlign w:val="center"/>
          </w:tcPr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名</w:t>
            </w:r>
          </w:p>
        </w:tc>
        <w:tc>
          <w:tcPr>
            <w:tcW w:w="3030" w:type="dxa"/>
            <w:vAlign w:val="center"/>
          </w:tcPr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所在单位</w:t>
            </w:r>
          </w:p>
        </w:tc>
        <w:tc>
          <w:tcPr>
            <w:tcW w:w="2145" w:type="dxa"/>
            <w:vAlign w:val="center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985" w:type="dxa"/>
            <w:vAlign w:val="center"/>
          </w:tcPr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行程安排</w:t>
            </w:r>
          </w:p>
        </w:tc>
      </w:tr>
      <w:tr w:rsidR="00C32153">
        <w:trPr>
          <w:trHeight w:val="785"/>
        </w:trPr>
        <w:tc>
          <w:tcPr>
            <w:tcW w:w="151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030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8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32153">
        <w:trPr>
          <w:trHeight w:val="905"/>
        </w:trPr>
        <w:tc>
          <w:tcPr>
            <w:tcW w:w="151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030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8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32153">
        <w:trPr>
          <w:trHeight w:val="925"/>
        </w:trPr>
        <w:tc>
          <w:tcPr>
            <w:tcW w:w="151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030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85" w:type="dxa"/>
          </w:tcPr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C32153">
        <w:trPr>
          <w:trHeight w:val="5697"/>
        </w:trPr>
        <w:tc>
          <w:tcPr>
            <w:tcW w:w="1515" w:type="dxa"/>
            <w:vAlign w:val="center"/>
          </w:tcPr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单位意见</w:t>
            </w:r>
          </w:p>
        </w:tc>
        <w:tc>
          <w:tcPr>
            <w:tcW w:w="8160" w:type="dxa"/>
            <w:gridSpan w:val="3"/>
            <w:vAlign w:val="center"/>
          </w:tcPr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单位盖章</w:t>
            </w: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仿宋"/>
                <w:sz w:val="32"/>
                <w:szCs w:val="32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  <w:p w:rsidR="00C32153" w:rsidRDefault="00C32153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C32153" w:rsidRDefault="00C32153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C32153" w:rsidRDefault="00C32153">
      <w:pPr>
        <w:rPr>
          <w:rFonts w:cs="Times New Roman"/>
        </w:rPr>
      </w:pPr>
    </w:p>
    <w:p w:rsidR="00C32153" w:rsidRDefault="00C32153">
      <w:pPr>
        <w:rPr>
          <w:rFonts w:cs="Times New Roman"/>
        </w:rPr>
      </w:pPr>
    </w:p>
    <w:sectPr w:rsidR="00C32153" w:rsidSect="0044279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153" w:rsidRDefault="00C32153" w:rsidP="004427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32153" w:rsidRDefault="00C32153" w:rsidP="004427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53" w:rsidRDefault="00C32153">
    <w:pPr>
      <w:pStyle w:val="Footer"/>
      <w:jc w:val="center"/>
      <w:rPr>
        <w:rFonts w:cs="Times New Roman"/>
      </w:rPr>
    </w:pPr>
    <w:fldSimple w:instr=" PAGE   \* MERGEFORMAT ">
      <w:r w:rsidRPr="00A527C3">
        <w:rPr>
          <w:noProof/>
          <w:lang w:val="zh-CN"/>
        </w:rPr>
        <w:t>1</w:t>
      </w:r>
    </w:fldSimple>
  </w:p>
  <w:p w:rsidR="00C32153" w:rsidRDefault="00C3215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153" w:rsidRDefault="00C32153" w:rsidP="004427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32153" w:rsidRDefault="00C32153" w:rsidP="004427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153" w:rsidRDefault="00C32153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AB3217"/>
    <w:rsid w:val="00032291"/>
    <w:rsid w:val="0044279B"/>
    <w:rsid w:val="0062234B"/>
    <w:rsid w:val="00A527C3"/>
    <w:rsid w:val="00BC74C1"/>
    <w:rsid w:val="00C32153"/>
    <w:rsid w:val="00E9523E"/>
    <w:rsid w:val="01F40D8E"/>
    <w:rsid w:val="029525CA"/>
    <w:rsid w:val="02EB0DDA"/>
    <w:rsid w:val="02EE1D5F"/>
    <w:rsid w:val="03882E57"/>
    <w:rsid w:val="03B42A21"/>
    <w:rsid w:val="041F3ED2"/>
    <w:rsid w:val="05A92BA3"/>
    <w:rsid w:val="06247323"/>
    <w:rsid w:val="068B7FCC"/>
    <w:rsid w:val="06975FDD"/>
    <w:rsid w:val="06E77061"/>
    <w:rsid w:val="07020F0F"/>
    <w:rsid w:val="0729334D"/>
    <w:rsid w:val="07502097"/>
    <w:rsid w:val="07A73C1C"/>
    <w:rsid w:val="07D102E3"/>
    <w:rsid w:val="07F6399B"/>
    <w:rsid w:val="088038FF"/>
    <w:rsid w:val="09731C0E"/>
    <w:rsid w:val="09BF208D"/>
    <w:rsid w:val="09DA5EBE"/>
    <w:rsid w:val="0A883CD4"/>
    <w:rsid w:val="0B2B6D61"/>
    <w:rsid w:val="0CA77552"/>
    <w:rsid w:val="0CE853FE"/>
    <w:rsid w:val="0DC51F28"/>
    <w:rsid w:val="0F2D200F"/>
    <w:rsid w:val="0F4E652C"/>
    <w:rsid w:val="10227809"/>
    <w:rsid w:val="10B14AEE"/>
    <w:rsid w:val="11A77604"/>
    <w:rsid w:val="11BA6625"/>
    <w:rsid w:val="123C58FA"/>
    <w:rsid w:val="13232374"/>
    <w:rsid w:val="135350C1"/>
    <w:rsid w:val="135D1254"/>
    <w:rsid w:val="142D76A0"/>
    <w:rsid w:val="14790727"/>
    <w:rsid w:val="14E84048"/>
    <w:rsid w:val="15CD2F57"/>
    <w:rsid w:val="166B1D39"/>
    <w:rsid w:val="17685577"/>
    <w:rsid w:val="19B33E37"/>
    <w:rsid w:val="1A4127A1"/>
    <w:rsid w:val="1ADF1FB2"/>
    <w:rsid w:val="1C900D6C"/>
    <w:rsid w:val="1CB2349F"/>
    <w:rsid w:val="1D93448C"/>
    <w:rsid w:val="1DE92160"/>
    <w:rsid w:val="1E4A35C1"/>
    <w:rsid w:val="1EDC08B2"/>
    <w:rsid w:val="1FE1495C"/>
    <w:rsid w:val="201E69BF"/>
    <w:rsid w:val="202D3756"/>
    <w:rsid w:val="205A0DA2"/>
    <w:rsid w:val="20D17AE7"/>
    <w:rsid w:val="20E6670E"/>
    <w:rsid w:val="22315125"/>
    <w:rsid w:val="22F66168"/>
    <w:rsid w:val="267A4EF9"/>
    <w:rsid w:val="26DB004C"/>
    <w:rsid w:val="27667C30"/>
    <w:rsid w:val="282D79F9"/>
    <w:rsid w:val="29757990"/>
    <w:rsid w:val="29AF20F4"/>
    <w:rsid w:val="2BA35DA7"/>
    <w:rsid w:val="2C372002"/>
    <w:rsid w:val="2F2E62F8"/>
    <w:rsid w:val="3156000B"/>
    <w:rsid w:val="318F47DD"/>
    <w:rsid w:val="320A66A5"/>
    <w:rsid w:val="320D2EAD"/>
    <w:rsid w:val="330111BC"/>
    <w:rsid w:val="335453C3"/>
    <w:rsid w:val="343B668D"/>
    <w:rsid w:val="34853536"/>
    <w:rsid w:val="3519182B"/>
    <w:rsid w:val="352B2DCA"/>
    <w:rsid w:val="36DC6F0E"/>
    <w:rsid w:val="382F433C"/>
    <w:rsid w:val="38504871"/>
    <w:rsid w:val="38646D95"/>
    <w:rsid w:val="386B5ADC"/>
    <w:rsid w:val="38A80783"/>
    <w:rsid w:val="39415E6C"/>
    <w:rsid w:val="39422F00"/>
    <w:rsid w:val="39DC787B"/>
    <w:rsid w:val="3A2D3BFC"/>
    <w:rsid w:val="3C204232"/>
    <w:rsid w:val="3C8C47DE"/>
    <w:rsid w:val="3CBE58FC"/>
    <w:rsid w:val="3CE13692"/>
    <w:rsid w:val="3CEE0102"/>
    <w:rsid w:val="3D0038A0"/>
    <w:rsid w:val="3D891605"/>
    <w:rsid w:val="3D91318F"/>
    <w:rsid w:val="3E572F58"/>
    <w:rsid w:val="3E7B4411"/>
    <w:rsid w:val="3E9A3641"/>
    <w:rsid w:val="3F0A0CAF"/>
    <w:rsid w:val="3F210422"/>
    <w:rsid w:val="3F46155B"/>
    <w:rsid w:val="3F970061"/>
    <w:rsid w:val="3FBC281F"/>
    <w:rsid w:val="40AD562A"/>
    <w:rsid w:val="40C83C56"/>
    <w:rsid w:val="40E32281"/>
    <w:rsid w:val="41487A27"/>
    <w:rsid w:val="416B6CE2"/>
    <w:rsid w:val="42733C91"/>
    <w:rsid w:val="42A247E0"/>
    <w:rsid w:val="42CE6929"/>
    <w:rsid w:val="42FF70F8"/>
    <w:rsid w:val="43F15195"/>
    <w:rsid w:val="446134BD"/>
    <w:rsid w:val="446866CB"/>
    <w:rsid w:val="46765126"/>
    <w:rsid w:val="46D3282B"/>
    <w:rsid w:val="480F2CC9"/>
    <w:rsid w:val="484F022F"/>
    <w:rsid w:val="49B45578"/>
    <w:rsid w:val="49BB4F03"/>
    <w:rsid w:val="4B315D69"/>
    <w:rsid w:val="4C87411C"/>
    <w:rsid w:val="4CC17779"/>
    <w:rsid w:val="4CCE1DF8"/>
    <w:rsid w:val="50B41C78"/>
    <w:rsid w:val="5156017D"/>
    <w:rsid w:val="515C5909"/>
    <w:rsid w:val="515C7B07"/>
    <w:rsid w:val="52BE1CCD"/>
    <w:rsid w:val="535E3DD5"/>
    <w:rsid w:val="55B80731"/>
    <w:rsid w:val="563D098A"/>
    <w:rsid w:val="56ED52AB"/>
    <w:rsid w:val="577B5E13"/>
    <w:rsid w:val="581C022C"/>
    <w:rsid w:val="59B36D38"/>
    <w:rsid w:val="5A420BA5"/>
    <w:rsid w:val="5A4D6F36"/>
    <w:rsid w:val="5A5C174F"/>
    <w:rsid w:val="5AD4335B"/>
    <w:rsid w:val="5DC0655D"/>
    <w:rsid w:val="5DE7641D"/>
    <w:rsid w:val="5EB05E66"/>
    <w:rsid w:val="6221580D"/>
    <w:rsid w:val="63041683"/>
    <w:rsid w:val="630D670F"/>
    <w:rsid w:val="6333694F"/>
    <w:rsid w:val="63616199"/>
    <w:rsid w:val="640A78AC"/>
    <w:rsid w:val="646969CC"/>
    <w:rsid w:val="64DC3487"/>
    <w:rsid w:val="65187A69"/>
    <w:rsid w:val="656606D4"/>
    <w:rsid w:val="657A208C"/>
    <w:rsid w:val="659E5744"/>
    <w:rsid w:val="67BC2C55"/>
    <w:rsid w:val="6926728F"/>
    <w:rsid w:val="698044A5"/>
    <w:rsid w:val="69D12FAB"/>
    <w:rsid w:val="6A961A6F"/>
    <w:rsid w:val="6AAB3217"/>
    <w:rsid w:val="6AB64522"/>
    <w:rsid w:val="6BE1078C"/>
    <w:rsid w:val="6CFC695A"/>
    <w:rsid w:val="6FEA5D29"/>
    <w:rsid w:val="70B544F8"/>
    <w:rsid w:val="719515E7"/>
    <w:rsid w:val="71CF04C8"/>
    <w:rsid w:val="71F969E7"/>
    <w:rsid w:val="723301EC"/>
    <w:rsid w:val="725F0CB0"/>
    <w:rsid w:val="73023D3C"/>
    <w:rsid w:val="74A361FC"/>
    <w:rsid w:val="74A83174"/>
    <w:rsid w:val="771F5D7B"/>
    <w:rsid w:val="7842045C"/>
    <w:rsid w:val="784C0D6B"/>
    <w:rsid w:val="78C673B0"/>
    <w:rsid w:val="799A068D"/>
    <w:rsid w:val="7AA51E44"/>
    <w:rsid w:val="7AB26F5C"/>
    <w:rsid w:val="7AE422D9"/>
    <w:rsid w:val="7B21178E"/>
    <w:rsid w:val="7D622FC2"/>
    <w:rsid w:val="7E5D66DD"/>
    <w:rsid w:val="7E98520B"/>
    <w:rsid w:val="7FCB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79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E71E7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279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E71E7"/>
    <w:rPr>
      <w:rFonts w:cs="Calibr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44279B"/>
    <w:pPr>
      <w:spacing w:after="120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E71E7"/>
    <w:rPr>
      <w:rFonts w:cs="Calibri"/>
      <w:sz w:val="16"/>
      <w:szCs w:val="16"/>
    </w:rPr>
  </w:style>
  <w:style w:type="paragraph" w:styleId="NormalWeb">
    <w:name w:val="Normal (Web)"/>
    <w:basedOn w:val="Normal"/>
    <w:uiPriority w:val="99"/>
    <w:rsid w:val="0044279B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159</Words>
  <Characters>910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国家知识产权培训（山东）基地文件</dc:title>
  <dc:subject/>
  <dc:creator>lenovo</dc:creator>
  <cp:keywords/>
  <dc:description/>
  <cp:lastModifiedBy>USER</cp:lastModifiedBy>
  <cp:revision>2</cp:revision>
  <dcterms:created xsi:type="dcterms:W3CDTF">2015-11-18T02:23:00Z</dcterms:created>
  <dcterms:modified xsi:type="dcterms:W3CDTF">2015-11-18T02:23:00Z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